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smallCaps w:val="1"/>
          <w:rtl w:val="0"/>
        </w:rPr>
        <w:t xml:space="preserve">СОГЛАШЕНИЕ </w:t>
      </w:r>
      <w:r w:rsidDel="00000000" w:rsidR="00000000" w:rsidRPr="00000000">
        <w:rPr>
          <w:b w:val="1"/>
          <w:rtl w:val="0"/>
        </w:rPr>
        <w:t xml:space="preserve">О СОТРУДНИЧЕСТВЕ № ___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7.0" w:type="dxa"/>
        <w:jc w:val="left"/>
        <w:tblInd w:w="62.0" w:type="dxa"/>
        <w:tblLayout w:type="fixed"/>
        <w:tblLook w:val="0000"/>
      </w:tblPr>
      <w:tblGrid>
        <w:gridCol w:w="5822"/>
        <w:gridCol w:w="3755"/>
        <w:tblGridChange w:id="0">
          <w:tblGrid>
            <w:gridCol w:w="5822"/>
            <w:gridCol w:w="37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г. Москва</w:t>
              <w:tab/>
              <w:tab/>
              <w:t xml:space="preserve">  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« ___ » ____________ 20__ 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418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Аккредитованное образовательное частное учреждение высшего образования «Московский финансово-юридический университет МФЮА, именуемое в дальнейшем «Университет», осуществляющее образовательную деятельность на основании на основании лицензии (№ 1402 серия 90Л01 № 0008398 от 23.04.15 г., выдана Федеральной службой по надзору в сфере образования и науки, сроком действия: бессрочно), в лице ректора Забелина Алексея Григорьевича, действующего на основании Устава, </w:t>
      </w:r>
    </w:p>
    <w:p w:rsidR="00000000" w:rsidDel="00000000" w:rsidP="00000000" w:rsidRDefault="00000000" w:rsidRPr="00000000" w14:paraId="00000007">
      <w:pPr>
        <w:tabs>
          <w:tab w:val="left" w:leader="none" w:pos="1418"/>
        </w:tabs>
        <w:ind w:firstLine="709"/>
        <w:jc w:val="both"/>
        <w:rPr/>
      </w:pPr>
      <w:r w:rsidDel="00000000" w:rsidR="00000000" w:rsidRPr="00000000">
        <w:rPr>
          <w:b w:val="1"/>
          <w:highlight w:val="yellow"/>
          <w:rtl w:val="0"/>
        </w:rPr>
        <w:t xml:space="preserve">__________________________________________</w:t>
      </w:r>
      <w:r w:rsidDel="00000000" w:rsidR="00000000" w:rsidRPr="00000000">
        <w:rPr>
          <w:highlight w:val="yellow"/>
          <w:rtl w:val="0"/>
        </w:rPr>
        <w:t xml:space="preserve">, </w:t>
      </w:r>
      <w:r w:rsidDel="00000000" w:rsidR="00000000" w:rsidRPr="00000000">
        <w:rPr>
          <w:rtl w:val="0"/>
        </w:rPr>
        <w:t xml:space="preserve">в лице </w:t>
      </w:r>
      <w:r w:rsidDel="00000000" w:rsidR="00000000" w:rsidRPr="00000000">
        <w:rPr>
          <w:highlight w:val="yellow"/>
          <w:rtl w:val="0"/>
        </w:rPr>
        <w:t xml:space="preserve">________________________, </w:t>
      </w:r>
      <w:r w:rsidDel="00000000" w:rsidR="00000000" w:rsidRPr="00000000">
        <w:rPr>
          <w:rtl w:val="0"/>
        </w:rPr>
        <w:t xml:space="preserve">действующего на основании Устава (далее Организация),</w:t>
      </w:r>
    </w:p>
    <w:p w:rsidR="00000000" w:rsidDel="00000000" w:rsidP="00000000" w:rsidRDefault="00000000" w:rsidRPr="00000000" w14:paraId="00000008">
      <w:pPr>
        <w:tabs>
          <w:tab w:val="left" w:leader="none" w:pos="1418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совместно именуемые – «Стороны» заключили настоящее соглашение (далее – Соглашение) на следующих условиях:</w:t>
      </w:r>
    </w:p>
    <w:p w:rsidR="00000000" w:rsidDel="00000000" w:rsidP="00000000" w:rsidRDefault="00000000" w:rsidRPr="00000000" w14:paraId="00000009">
      <w:pPr>
        <w:tabs>
          <w:tab w:val="left" w:leader="none" w:pos="1418"/>
        </w:tabs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 Соглашения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8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Предметом настоящего Соглашения является развитие перспективных направлений сотрудничества между Университетом и Организацией  в области образования, науки, разработки и реализации основных профессиональных образовательных программ высшего образования, направленных на удовлетворение потребностей Сторон в подготовке кадров и в повышении квалификации сотрудников; по внедрению Сторонами новых технологий, научных разработок, проектов; по объединению профессионального опыта и компетенций Сторон, по проектам, представляющим взаимный интерес; по вопросам организации практик и стажировок обучающихся Университета в Организации, трудоустройства выпускников Университета.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Основными целями сотрудничества между Сторонами является установление долгосрочных связей, объединение профессиональных усилий, направленных на выполнение стратегических целей, национальных проектов и программ:</w:t>
      </w:r>
    </w:p>
    <w:p w:rsidR="00000000" w:rsidDel="00000000" w:rsidP="00000000" w:rsidRDefault="00000000" w:rsidRPr="00000000" w14:paraId="0000000E">
      <w:pPr>
        <w:tabs>
          <w:tab w:val="left" w:leader="none" w:pos="1418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а) подготовка специалистов, отвечающих требованиям и специфике современных предприятий и организаций, в том числе в области цифровых компетенций;</w:t>
      </w:r>
    </w:p>
    <w:p w:rsidR="00000000" w:rsidDel="00000000" w:rsidP="00000000" w:rsidRDefault="00000000" w:rsidRPr="00000000" w14:paraId="0000000F">
      <w:pPr>
        <w:tabs>
          <w:tab w:val="left" w:leader="none" w:pos="1418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б) вовлечение учащихся в реализацию практических задач работодателей строительной индустрии с целью формирования условий и заделов для проектного обучения;</w:t>
      </w:r>
    </w:p>
    <w:p w:rsidR="00000000" w:rsidDel="00000000" w:rsidP="00000000" w:rsidRDefault="00000000" w:rsidRPr="00000000" w14:paraId="00000010">
      <w:pPr>
        <w:tabs>
          <w:tab w:val="left" w:leader="none" w:pos="1418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в) формирование механизмов содействия профильному трудоустройству </w:t>
        <w:br w:type="textWrapping"/>
        <w:t xml:space="preserve">и профессиональному развитию и карьере выпускников Университета, в том числе посредством организации стажировок обучающихся Университета на базе Организации  научно-производственной кооперации;</w:t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ind w:firstLine="709"/>
        <w:jc w:val="both"/>
        <w:rPr/>
      </w:pPr>
      <w:r w:rsidDel="00000000" w:rsidR="00000000" w:rsidRPr="00000000">
        <w:rPr>
          <w:rtl w:val="0"/>
        </w:rPr>
        <w:t xml:space="preserve">г) совместное развитие востребованных направлений научных исследований, направлений подготовки высококвалифицированных специалистов в системе высшего образования, развития академической мобильности, инновационных форм взаимодействия и осуществления интеграции высшего образования, науки и производства;</w:t>
      </w:r>
    </w:p>
    <w:p w:rsidR="00000000" w:rsidDel="00000000" w:rsidP="00000000" w:rsidRDefault="00000000" w:rsidRPr="00000000" w14:paraId="00000012">
      <w:pPr>
        <w:tabs>
          <w:tab w:val="left" w:leader="none" w:pos="1418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д) реализация совместных усилий по выводу на рынок технологий и решений, в том числе являющихся результатом совместно выполненных исследовательских работ Университета и Организации в частности, с привлечением обучающихся в Университете.</w:t>
      </w:r>
    </w:p>
    <w:p w:rsidR="00000000" w:rsidDel="00000000" w:rsidP="00000000" w:rsidRDefault="00000000" w:rsidRPr="00000000" w14:paraId="00000013">
      <w:pPr>
        <w:tabs>
          <w:tab w:val="left" w:leader="none" w:pos="1418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направления сотрудничества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Для достижения целей Стороны намерены осуществлять сотрудничество в следующих направлениях и формах: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 Эффективное взаимодействие в целях подготовки высокопрофессиональных кадров, в том числе – по программам высшего образования, программам подготовки кадров высшей квалификации в аспирантуре, дополнительным профессиональным программам повышения квалификации и профессиональной переподготовки работников, в частности путем оказания платных образовательных услуг, целевой подготовки кадров и др., на основании заключенных Договоров об образовании. 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Взаимное привлечение к образовательному процессу работников Сторон из числа действующих руководителей и работников, деятельность которых связана с направлением (профилем) реализуемой основной профессиональной образовательной программы высшего образования, среднего профессионального образования имеющих стаж работы в данной профессиональной области не менее 3 (трех) лет, на условиях гражданско-правового Соглашения.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Организация встреч, обучающихся с представителями Организации из числа среднего и высшего руководящего состава, проведение мастер-классов представителями Организации.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Привлечение к проведению государственной итоговой аттестации по основным профессиональным образовательным программам высшего образования представителей Организации.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Организация и проведение практической подготовки и стажировок, обучающихся Университета в Организации в соответствии с заключенным между Университетом и Организацией договором(ами) на проведение практической подготовки и стажировок обучающихся.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Формирование предложений по реализации комплексных, практических задач по направлениям цифровизации образовательных стандартов и программ обучения, применения проектных подходов в обучении.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Привлечение обучающихся к реализации практических задач, формируемых Организацией в рамках совместной деятельности Центров компетенций, научно-исследовательских центров Сторон.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Практическая реализация совместных усилий по коммерциализации технологий и решений, в том числе являющихся результатом совместно выполненных исследовательских работ Университета и Организации, в частности, выполненных с привлечением обучающихся в Университете.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Взаимное привлечение участников Сторон в качестве соисполнителей/экспертов, иных форм участия (в соответствии с требованиями законодательства) в государственных (грантовых) мерах поддержки по проектам, представляющим профессиональный интерес.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Участие в отраслевых и межотраслевых программах, конкурсах, акселераторах и т.п. с формированием совместных проектных команд.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Формирование волонтерских инициатив с участием обучающихся в проектах и мероприятиях на базе Организации.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Совместная деятельность по организации и проведению тематических конкурсов среди талантливой студенческой молодежи и научно-педагогических работников Университета. 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Проведение опросов в Организации о качестве подготовки выпускников Университета, трудоустроенных в данной Организации, качестве подготовки обучающихся, проходивших в Организации практическую подготовку или стажировку.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Содействие трудоустройству выпускников, наилучшим образом проявивших себя в процессе обучения и в ходе практической подготовки </w:t>
        <w:br w:type="textWrapping"/>
        <w:t xml:space="preserve">при реализации производственных практик в Организации при наличии вакантных должностей.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Обеспечение опережающего характера подготовки специалистов на основе интеграции научной, образовательной и производственной деятельности, гарантирующей им конкурентоспособность на рынке труда и образовательных услуг.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Проведение исследовательских работ по заказам Организации на проведение данного вида работ, совместных научно-технических и производственных экспериментальных исследований с заключением соответствующих договоров и/или соглашений.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Разработка и подготовка промоконтента о совместной деятельности Сторон и его размещение в средствах массовой информации.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Внедрение научных знаний в практику деятельности Организации.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Формирование системы обмена передовым опытом, распространение актуальных научных, учебных и производственных достижений.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Объединение профессиональных усилий, опыта и компетенций для реализации проектов представляющих взаимный профессиональный интерес.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Совместное участие в общественно-значимых научных, деловых, экспертных, выставочных мероприятиях в России и за рубежом по направлениям и проектам, представляющим взаимный профессиональный интерес.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Информационная поддержка деятельности Сторон.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Организация предоставляет право размещения своего логотипа и разрешает указание на официальное партнерство Сторон на сайте МФЮА.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Перечень направлений и форм сотрудничества не является исчерпывающим и может расширяться, и дополняться по соглашению Сторон.</w:t>
      </w:r>
    </w:p>
    <w:p w:rsidR="00000000" w:rsidDel="00000000" w:rsidP="00000000" w:rsidRDefault="00000000" w:rsidRPr="00000000" w14:paraId="0000002F">
      <w:pPr>
        <w:tabs>
          <w:tab w:val="left" w:leader="none" w:pos="1418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Обязательства Сторон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 обязуются: 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tabs>
          <w:tab w:val="left" w:leader="none" w:pos="-4111"/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оказывать содействие в реализации совместных направлений сотрудничества в порядке, в размере и способами, предусмотренными отдельными Соглашениями и иными документами, подписанными Сторонами во исполнение настоящего Соглашения;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tabs>
          <w:tab w:val="left" w:leader="none" w:pos="-4111"/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своевременно и в полном объеме выполнять юридические </w:t>
        <w:br w:type="textWrapping"/>
        <w:t xml:space="preserve">и фактические действия, необходимые для реализации совместных проектов;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tabs>
          <w:tab w:val="left" w:leader="none" w:pos="-4111"/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обмениваться с соблюдением законодательства имеющимися в их распоряжении информационными ресурсами;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tabs>
          <w:tab w:val="left" w:leader="none" w:pos="-4111"/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не разглашать информацию, признанную Сторонами конфиденциальной;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tabs>
          <w:tab w:val="left" w:leader="none" w:pos="-4111"/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по необходимости проводить встречи, консультации и обсуждение вопросов, связанных с реализацией направлений и форм сотрудничества;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tabs>
          <w:tab w:val="left" w:leader="none" w:pos="-4111"/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рассматривать проблемы, возникающие в процессе реализации настоящего Соглашения. 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Конкретные проекты и мероприятия сотрудничества, сроки и условия их реализации оговариваются дополнительно, оформляются в рамках отдельных договоров, планов и соглашений на согласованных Сторонами условиях.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Настоящее Соглашение не влечет каких-либо финансовых обязательств Сторон. Вопросы финансового обеспечения сотрудничества будут решаться Сторонами путем переговоров и подписанием отдельных договоров и/или соглашений. 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Положения настоящего Соглашения не могут рассматриваться как ущемляющие права Сторон по самостоятельной реализации проектов и действий по направлениям, перечисленным в настоящем Соглашении.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Контактная информация ответственного лица за заключение Соглашения со стороны Организации</w:t>
      </w:r>
      <w:r w:rsidDel="00000000" w:rsidR="00000000" w:rsidRPr="00000000">
        <w:rPr>
          <w:highlight w:val="yellow"/>
          <w:rtl w:val="0"/>
        </w:rPr>
        <w:t xml:space="preserve">: </w:t>
      </w:r>
      <w:r w:rsidDel="00000000" w:rsidR="00000000" w:rsidRPr="00000000">
        <w:rPr>
          <w:i w:val="1"/>
          <w:highlight w:val="yellow"/>
          <w:rtl w:val="0"/>
        </w:rPr>
        <w:t xml:space="preserve">___________________________________________________________.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Контактная информация ответственного лица за заключение Соглашения со стороны Университета: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Директор Центра развития карьеры и трудоустройства МФЮА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Никитина Оксана Маратовна (тел. +7 (902)8762050, e-mail: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72c6"/>
          <w:sz w:val="24"/>
          <w:szCs w:val="24"/>
          <w:shd w:fill="f4f4f4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Nikitina.O@mfua.ru)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При исполнении настоящего Соглашения Стороны руководствуются принципами противодействия коррупции, правовыми и организационными основами предупреждения коррупции и борьбы с ней, методами по минимизации </w:t>
        <w:br w:type="textWrapping"/>
        <w:t xml:space="preserve">и (или) ликвидации последствий коррупционных правонарушений в соответствии </w:t>
        <w:br w:type="textWrapping"/>
        <w:t xml:space="preserve">с действующим антикоррупционным законодательством Российской Федерации, </w:t>
        <w:br w:type="textWrapping"/>
        <w:t xml:space="preserve">в том числе Федеральным законом от 25.12.2008 г. № 273-ФЗ «О противодействии коррупции», локальными нормативными актами Университета и Организации.</w:t>
      </w:r>
    </w:p>
    <w:p w:rsidR="00000000" w:rsidDel="00000000" w:rsidP="00000000" w:rsidRDefault="00000000" w:rsidRPr="00000000" w14:paraId="0000003F">
      <w:pPr>
        <w:tabs>
          <w:tab w:val="left" w:leader="none" w:pos="993"/>
        </w:tabs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Ответственность Сторон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Ответственность Сторон по настоящему Соглашению наступает только в случаях, предусмотренных действующим законодательством Российской Федерации.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Все споры, разногласия или требования, возникающие из настоящего Соглашения или в связи с ним, подлежат урегулированию Сторонами путем переговоров. При отсутствии согласия спор между Сторонами подлежит рассмотрению в соответствии с действующим законодательством.</w:t>
      </w:r>
    </w:p>
    <w:p w:rsidR="00000000" w:rsidDel="00000000" w:rsidP="00000000" w:rsidRDefault="00000000" w:rsidRPr="00000000" w14:paraId="00000043">
      <w:pPr>
        <w:tabs>
          <w:tab w:val="left" w:leader="none" w:pos="1418"/>
        </w:tabs>
        <w:ind w:firstLine="70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действия Соглашения, порядок его изменения и расторжения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Соглашение вступает в силу после его подписания Университетом и Организацией.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Срок действия Соглашения 5 (пять) лет, </w:t>
      </w:r>
      <w:r w:rsidDel="00000000" w:rsidR="00000000" w:rsidRPr="00000000">
        <w:rPr>
          <w:highlight w:val="yellow"/>
          <w:rtl w:val="0"/>
        </w:rPr>
        <w:t xml:space="preserve">с «__» ____ 2023г. по «__» _____2028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В случае если не менее чем за 1 (один) месяц до окончания срока действия настоящего Соглашения ни одна из Сторон не заявила о прекращении его действия, Соглашение считается пролонгированным на тот же срок.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tabs>
          <w:tab w:val="left" w:leader="none" w:pos="1418"/>
        </w:tabs>
        <w:ind w:left="0" w:firstLine="709"/>
        <w:jc w:val="both"/>
        <w:rPr/>
      </w:pPr>
      <w:r w:rsidDel="00000000" w:rsidR="00000000" w:rsidRPr="00000000">
        <w:rPr>
          <w:rtl w:val="0"/>
        </w:rPr>
        <w:t xml:space="preserve">Каждая из Сторон в любое время вправе отказаться от настоящего Соглашения, предупредив об этом другую Сторону не позднее чем за 2 (два) месяца до момента его расторжения.</w:t>
      </w:r>
    </w:p>
    <w:p w:rsidR="00000000" w:rsidDel="00000000" w:rsidP="00000000" w:rsidRDefault="00000000" w:rsidRPr="00000000" w14:paraId="0000004A">
      <w:pPr>
        <w:tabs>
          <w:tab w:val="left" w:leader="none" w:pos="1418"/>
        </w:tabs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Реквизиты и подписи Сторон</w:t>
      </w:r>
    </w:p>
    <w:p w:rsidR="00000000" w:rsidDel="00000000" w:rsidP="00000000" w:rsidRDefault="00000000" w:rsidRPr="00000000" w14:paraId="0000004C">
      <w:pPr>
        <w:tabs>
          <w:tab w:val="left" w:leader="none" w:pos="1418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1772"/>
        <w:gridCol w:w="2481"/>
        <w:gridCol w:w="2268"/>
        <w:tblGridChange w:id="0">
          <w:tblGrid>
            <w:gridCol w:w="2977"/>
            <w:gridCol w:w="1772"/>
            <w:gridCol w:w="2481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Университет: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Аккредитованное образовательное частное учреждение высшего образования «Московский финансово-юридический университет МФЮА»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Адрес местонахождения: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115191, г. Москва, ул. Серпуховский вал, д.17, корп.1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Почтовый адрес: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117342, г. Москва, ул. Введенского, д. 1А 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ОГРН 1027739751346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ИНН 7725082902 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Тел. 8(499)979-00-99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Эл. почта: Post@mfua.ru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Организация: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Наименование: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Адрес местонахождения: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Почтовый адрес: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ОГРН: </w:t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ИНН: 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КПП: 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Тел.: </w:t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Эл. почта: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Ректор</w:t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Генеральный директор: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А.Г. Забелин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</w:t>
            </w:r>
          </w:p>
        </w:tc>
      </w:tr>
    </w:tbl>
    <w:p w:rsidR="00000000" w:rsidDel="00000000" w:rsidP="00000000" w:rsidRDefault="00000000" w:rsidRPr="00000000" w14:paraId="0000006F">
      <w:pPr>
        <w:tabs>
          <w:tab w:val="left" w:leader="none" w:pos="1418"/>
        </w:tabs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0" w:top="993" w:left="1418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1440" w:hanging="360"/>
      </w:pPr>
      <w:rPr/>
    </w:lvl>
    <w:lvl w:ilvl="2">
      <w:start w:val="1"/>
      <w:numFmt w:val="decimal"/>
      <w:lvlText w:val="%1.%2.%3"/>
      <w:lvlJc w:val="left"/>
      <w:pPr>
        <w:ind w:left="2880" w:hanging="720"/>
      </w:pPr>
      <w:rPr/>
    </w:lvl>
    <w:lvl w:ilvl="3">
      <w:start w:val="1"/>
      <w:numFmt w:val="decimal"/>
      <w:lvlText w:val="%1.%2.%3.%4"/>
      <w:lvlJc w:val="left"/>
      <w:pPr>
        <w:ind w:left="3960" w:hanging="720"/>
      </w:pPr>
      <w:rPr/>
    </w:lvl>
    <w:lvl w:ilvl="4">
      <w:start w:val="1"/>
      <w:numFmt w:val="decimal"/>
      <w:lvlText w:val="%1.%2.%3.%4.%5"/>
      <w:lvlJc w:val="left"/>
      <w:pPr>
        <w:ind w:left="5400" w:hanging="1080"/>
      </w:pPr>
      <w:rPr/>
    </w:lvl>
    <w:lvl w:ilvl="5">
      <w:start w:val="1"/>
      <w:numFmt w:val="decimal"/>
      <w:lvlText w:val="%1.%2.%3.%4.%5.%6"/>
      <w:lvlJc w:val="left"/>
      <w:pPr>
        <w:ind w:left="6480" w:hanging="1080"/>
      </w:pPr>
      <w:rPr/>
    </w:lvl>
    <w:lvl w:ilvl="6">
      <w:start w:val="1"/>
      <w:numFmt w:val="decimal"/>
      <w:lvlText w:val="%1.%2.%3.%4.%5.%6.%7"/>
      <w:lvlJc w:val="left"/>
      <w:pPr>
        <w:ind w:left="7920" w:hanging="1440"/>
      </w:pPr>
      <w:rPr/>
    </w:lvl>
    <w:lvl w:ilvl="7">
      <w:start w:val="1"/>
      <w:numFmt w:val="decimal"/>
      <w:lvlText w:val="%1.%2.%3.%4.%5.%6.%7.%8"/>
      <w:lvlJc w:val="left"/>
      <w:pPr>
        <w:ind w:left="9000" w:hanging="1440"/>
      </w:pPr>
      <w:rPr/>
    </w:lvl>
    <w:lvl w:ilvl="8">
      <w:start w:val="1"/>
      <w:numFmt w:val="decimal"/>
      <w:lvlText w:val="%1.%2.%3.%4.%5.%6.%7.%8.%9"/>
      <w:lvlJc w:val="left"/>
      <w:pPr>
        <w:ind w:left="1044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900" w:hanging="54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abstractNum w:abstractNumId="3"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4">
    <w:lvl w:ilvl="0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1073" w:hanging="610"/>
      </w:pPr>
      <w:rPr/>
    </w:lvl>
    <w:lvl w:ilvl="2">
      <w:start w:val="9"/>
      <w:numFmt w:val="decimal"/>
      <w:lvlText w:val="%1.%2.%3"/>
      <w:lvlJc w:val="left"/>
      <w:pPr>
        <w:ind w:left="1286" w:hanging="720"/>
      </w:pPr>
      <w:rPr/>
    </w:lvl>
    <w:lvl w:ilvl="3">
      <w:start w:val="1"/>
      <w:numFmt w:val="decimal"/>
      <w:lvlText w:val="%1.%2.%3.%4"/>
      <w:lvlJc w:val="left"/>
      <w:pPr>
        <w:ind w:left="1749" w:hanging="1080"/>
      </w:pPr>
      <w:rPr/>
    </w:lvl>
    <w:lvl w:ilvl="4">
      <w:start w:val="1"/>
      <w:numFmt w:val="decimal"/>
      <w:lvlText w:val="%1.%2.%3.%4.%5"/>
      <w:lvlJc w:val="left"/>
      <w:pPr>
        <w:ind w:left="1852" w:hanging="1080"/>
      </w:pPr>
      <w:rPr/>
    </w:lvl>
    <w:lvl w:ilvl="5">
      <w:start w:val="1"/>
      <w:numFmt w:val="decimal"/>
      <w:lvlText w:val="%1.%2.%3.%4.%5.%6"/>
      <w:lvlJc w:val="left"/>
      <w:pPr>
        <w:ind w:left="2315" w:hanging="1440"/>
      </w:pPr>
      <w:rPr/>
    </w:lvl>
    <w:lvl w:ilvl="6">
      <w:start w:val="1"/>
      <w:numFmt w:val="decimal"/>
      <w:lvlText w:val="%1.%2.%3.%4.%5.%6.%7"/>
      <w:lvlJc w:val="left"/>
      <w:pPr>
        <w:ind w:left="2418" w:hanging="1440"/>
      </w:pPr>
      <w:rPr/>
    </w:lvl>
    <w:lvl w:ilvl="7">
      <w:start w:val="1"/>
      <w:numFmt w:val="decimal"/>
      <w:lvlText w:val="%1.%2.%3.%4.%5.%6.%7.%8"/>
      <w:lvlJc w:val="left"/>
      <w:pPr>
        <w:ind w:left="2881" w:hanging="1799.9999999999998"/>
      </w:pPr>
      <w:rPr/>
    </w:lvl>
    <w:lvl w:ilvl="8">
      <w:start w:val="1"/>
      <w:numFmt w:val="decimal"/>
      <w:lvlText w:val="%1.%2.%3.%4.%5.%6.%7.%8.%9"/>
      <w:lvlJc w:val="left"/>
      <w:pPr>
        <w:ind w:left="2984" w:hanging="1800.0000000000002"/>
      </w:pPr>
      <w:rPr/>
    </w:lvl>
  </w:abstractNum>
  <w:abstractNum w:abstractNumId="6">
    <w:lvl w:ilvl="0">
      <w:start w:val="1"/>
      <w:numFmt w:val="decimal"/>
      <w:lvlText w:val="2.1.%1"/>
      <w:lvlJc w:val="left"/>
      <w:pPr>
        <w:ind w:left="107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5.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"/>
      <w:lvlJc w:val="left"/>
      <w:pPr>
        <w:ind w:left="885" w:hanging="885"/>
      </w:pPr>
      <w:rPr/>
    </w:lvl>
    <w:lvl w:ilvl="1">
      <w:start w:val="1"/>
      <w:numFmt w:val="decimal"/>
      <w:lvlText w:val="%1.%2"/>
      <w:lvlJc w:val="left"/>
      <w:pPr>
        <w:ind w:left="885" w:hanging="885"/>
      </w:pPr>
      <w:rPr/>
    </w:lvl>
    <w:lvl w:ilvl="2">
      <w:start w:val="1"/>
      <w:numFmt w:val="decimal"/>
      <w:lvlText w:val="%1.%2.%3"/>
      <w:lvlJc w:val="left"/>
      <w:pPr>
        <w:ind w:left="1605" w:hanging="885"/>
      </w:pPr>
      <w:rPr/>
    </w:lvl>
    <w:lvl w:ilvl="3">
      <w:start w:val="1"/>
      <w:numFmt w:val="decimal"/>
      <w:lvlText w:val="%1.%2.%3.%4"/>
      <w:lvlJc w:val="left"/>
      <w:pPr>
        <w:ind w:left="1965" w:hanging="885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3960" w:hanging="144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wk8zMSTMkS8DHz/czaHLN68fw==">CgMxLjAyCGguZ2pkZ3hzOAByITF0ZEVQQjdRQVpxUDNzYzdVS2NTSU1UTm9ObDBSa1RDRA==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